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59EFF2" w14:textId="63F314C4" w:rsidR="00151C8E" w:rsidRDefault="00151C8E"/>
    <w:p w14:paraId="49BA5F25" w14:textId="77777777" w:rsidR="00FD371C" w:rsidRDefault="00FD371C"/>
    <w:p w14:paraId="097AF57A" w14:textId="77777777" w:rsidR="00FD371C" w:rsidRDefault="00FD371C"/>
    <w:p w14:paraId="7F708608" w14:textId="0DE0F09A" w:rsidR="00151C8E" w:rsidRDefault="00C077BF">
      <w:r>
        <w:t>LIFE, LIBE</w:t>
      </w:r>
      <w:r w:rsidR="008545D4">
        <w:t>R</w:t>
      </w:r>
      <w:r>
        <w:t>TY, AND PURSUIT OF HAPPINESS AMONG EARLY AMERICAN GROUPS</w:t>
      </w:r>
    </w:p>
    <w:p w14:paraId="5574CBB1" w14:textId="7CB72AFA" w:rsidR="00151C8E" w:rsidRDefault="00151C8E"/>
    <w:p w14:paraId="19F8A552" w14:textId="72EAEEDD" w:rsidR="00151C8E" w:rsidRDefault="00151C8E"/>
    <w:p w14:paraId="39DA7757" w14:textId="0D21238B" w:rsidR="00151C8E" w:rsidRDefault="00151C8E"/>
    <w:p w14:paraId="4B5D444B" w14:textId="5411BEF2" w:rsidR="00151C8E" w:rsidRDefault="00151C8E"/>
    <w:p w14:paraId="47D7319D" w14:textId="25973CDD" w:rsidR="00151C8E" w:rsidRDefault="00151C8E"/>
    <w:p w14:paraId="3606A22F" w14:textId="3788ABE2" w:rsidR="00151C8E" w:rsidRDefault="00151C8E"/>
    <w:p w14:paraId="0FC03FDA" w14:textId="12C33005" w:rsidR="001B5525" w:rsidRDefault="00C077BF" w:rsidP="004244B2">
      <w:pPr>
        <w:spacing w:line="480" w:lineRule="auto"/>
        <w:jc w:val="center"/>
      </w:pPr>
      <w:r>
        <w:t>Student’s Name</w:t>
      </w:r>
    </w:p>
    <w:p w14:paraId="7CD34096" w14:textId="6515E53D" w:rsidR="00151C8E" w:rsidRDefault="00C077BF" w:rsidP="004244B2">
      <w:pPr>
        <w:spacing w:line="480" w:lineRule="auto"/>
        <w:jc w:val="center"/>
      </w:pPr>
      <w:r>
        <w:t>Course</w:t>
      </w:r>
    </w:p>
    <w:p w14:paraId="56BB67BC" w14:textId="1408428F" w:rsidR="00151C8E" w:rsidRDefault="00C077BF" w:rsidP="004244B2">
      <w:pPr>
        <w:spacing w:line="480" w:lineRule="auto"/>
        <w:jc w:val="center"/>
      </w:pPr>
      <w:r>
        <w:t>Professor’s Name</w:t>
      </w:r>
    </w:p>
    <w:p w14:paraId="7CDD06C8" w14:textId="5E64C750" w:rsidR="001B5525" w:rsidRPr="001B5525" w:rsidRDefault="00C077BF" w:rsidP="004244B2">
      <w:pPr>
        <w:spacing w:line="480" w:lineRule="auto"/>
        <w:jc w:val="center"/>
      </w:pPr>
      <w:r>
        <w:t>Dat</w:t>
      </w:r>
      <w:r>
        <w:rPr>
          <w:rStyle w:val="EndnoteReference"/>
          <w:vertAlign w:val="baseline"/>
        </w:rPr>
        <w:t>e</w:t>
      </w:r>
    </w:p>
    <w:p w14:paraId="397D2727" w14:textId="77777777" w:rsidR="00151C8E" w:rsidRDefault="00151C8E"/>
    <w:p w14:paraId="1A0DC6AF" w14:textId="1D8BEA0A" w:rsidR="00151C8E" w:rsidRDefault="00151C8E"/>
    <w:p w14:paraId="1B9E3988" w14:textId="2011DD37" w:rsidR="00151C8E" w:rsidRDefault="00151C8E"/>
    <w:p w14:paraId="68605368" w14:textId="526CA11C" w:rsidR="00151C8E" w:rsidRDefault="00151C8E"/>
    <w:p w14:paraId="2C6D9154" w14:textId="026D1B69" w:rsidR="00151C8E" w:rsidRDefault="00151C8E"/>
    <w:p w14:paraId="2EC14118" w14:textId="46EB072B" w:rsidR="00151C8E" w:rsidRDefault="00151C8E"/>
    <w:p w14:paraId="417ED81C" w14:textId="3A357BB2" w:rsidR="00151C8E" w:rsidRDefault="00151C8E"/>
    <w:p w14:paraId="30D7271E" w14:textId="4904805E" w:rsidR="00151C8E" w:rsidRDefault="00151C8E"/>
    <w:p w14:paraId="4CBD6127" w14:textId="1844E831" w:rsidR="00151C8E" w:rsidRDefault="00151C8E"/>
    <w:p w14:paraId="268C5D2B" w14:textId="77777777" w:rsidR="00151C8E" w:rsidRDefault="00151C8E"/>
    <w:p w14:paraId="444F7069" w14:textId="77777777" w:rsidR="00151C8E" w:rsidRDefault="00151C8E"/>
    <w:p w14:paraId="1278CB84" w14:textId="77777777" w:rsidR="00FD371C" w:rsidRDefault="00FD371C" w:rsidP="00FD371C">
      <w:pPr>
        <w:spacing w:line="480" w:lineRule="auto"/>
      </w:pPr>
    </w:p>
    <w:p w14:paraId="470CC4B7" w14:textId="4D27FF45" w:rsidR="001B5525" w:rsidRPr="004244B2" w:rsidRDefault="00C077BF" w:rsidP="00FD371C">
      <w:pPr>
        <w:spacing w:line="480" w:lineRule="auto"/>
        <w:jc w:val="center"/>
        <w:rPr>
          <w:b/>
          <w:bCs/>
        </w:rPr>
      </w:pPr>
      <w:r w:rsidRPr="004244B2">
        <w:rPr>
          <w:b/>
          <w:bCs/>
        </w:rPr>
        <w:lastRenderedPageBreak/>
        <w:t>Introduction</w:t>
      </w:r>
    </w:p>
    <w:p w14:paraId="316DF4CE" w14:textId="77777777" w:rsidR="00BB5512" w:rsidRDefault="00C077BF" w:rsidP="00BB5512">
      <w:pPr>
        <w:spacing w:line="480" w:lineRule="auto"/>
        <w:ind w:firstLine="720"/>
      </w:pPr>
      <w:r>
        <w:t xml:space="preserve"> In early America, different groups of people lived there, and among these groups were American Indians as </w:t>
      </w:r>
      <w:r w:rsidR="00BA076C">
        <w:t>well as</w:t>
      </w:r>
      <w:r>
        <w:t xml:space="preserve"> African Americans. Before the year 1840, the issue of </w:t>
      </w:r>
      <w:r w:rsidR="004244B2">
        <w:t>liberty, life</w:t>
      </w:r>
      <w:r>
        <w:t xml:space="preserve">, and </w:t>
      </w:r>
      <w:r w:rsidR="004244B2">
        <w:t>pursuit</w:t>
      </w:r>
      <w:r>
        <w:t xml:space="preserve"> of happiness were expressed in different ways to these groups of people. The resident who used to live in </w:t>
      </w:r>
      <w:r w:rsidR="004244B2">
        <w:t>America</w:t>
      </w:r>
      <w:r>
        <w:t xml:space="preserve"> before 1840 spoke different languages since they comprised </w:t>
      </w:r>
      <w:r w:rsidR="004244B2">
        <w:t>of Europeans, Africans</w:t>
      </w:r>
      <w:r w:rsidR="00FC78CD">
        <w:t xml:space="preserve">, </w:t>
      </w:r>
      <w:r w:rsidR="004244B2">
        <w:t>and</w:t>
      </w:r>
      <w:r w:rsidR="00FC78CD">
        <w:t xml:space="preserve"> a </w:t>
      </w:r>
      <w:r w:rsidR="004244B2">
        <w:t>portion</w:t>
      </w:r>
      <w:r w:rsidR="00FC78CD">
        <w:t xml:space="preserve"> of Indians</w:t>
      </w:r>
      <w:r>
        <w:rPr>
          <w:rStyle w:val="FootnoteReference"/>
        </w:rPr>
        <w:footnoteReference w:id="1"/>
      </w:r>
      <w:r w:rsidR="00FC78CD">
        <w:t>. All these communities g</w:t>
      </w:r>
      <w:r w:rsidR="004244B2">
        <w:t>o</w:t>
      </w:r>
      <w:r w:rsidR="00FC78CD">
        <w:t xml:space="preserve">t </w:t>
      </w:r>
      <w:r w:rsidR="004244B2">
        <w:t>access</w:t>
      </w:r>
      <w:r w:rsidR="00FC78CD">
        <w:t xml:space="preserve"> to America either by sea root as well as through land. During this historical period, transatlantic trade, trans </w:t>
      </w:r>
      <w:r w:rsidR="004244B2">
        <w:t>Sahara</w:t>
      </w:r>
      <w:r w:rsidR="00FC78CD">
        <w:t xml:space="preserve"> trade as </w:t>
      </w:r>
      <w:r w:rsidR="004244B2">
        <w:t>well</w:t>
      </w:r>
      <w:r w:rsidR="00FC78CD">
        <w:t xml:space="preserve"> as the colonization process wee on the rise.</w:t>
      </w:r>
    </w:p>
    <w:p w14:paraId="0D4082E4" w14:textId="0324AF83" w:rsidR="008545D4" w:rsidRDefault="004244B2" w:rsidP="00BB5512">
      <w:pPr>
        <w:spacing w:line="480" w:lineRule="auto"/>
        <w:ind w:firstLine="720"/>
      </w:pPr>
      <w:r>
        <w:t>Different</w:t>
      </w:r>
      <w:r w:rsidR="00FC78CD">
        <w:t xml:space="preserve"> communities interacted in these trade activities where different continents exchanged goods from other continents. The main commodity of the trade from Africa was slaves who were </w:t>
      </w:r>
      <w:r>
        <w:t>transported</w:t>
      </w:r>
      <w:r w:rsidR="00FC78CD">
        <w:t xml:space="preserve"> through seeing to the American </w:t>
      </w:r>
      <w:r>
        <w:t>continent</w:t>
      </w:r>
      <w:r w:rsidR="00FC78CD">
        <w:t xml:space="preserve"> through the </w:t>
      </w:r>
      <w:r>
        <w:t>Atlantic Ocean</w:t>
      </w:r>
      <w:r w:rsidR="00FC78CD">
        <w:t xml:space="preserve">, and </w:t>
      </w:r>
      <w:r>
        <w:t>these trades</w:t>
      </w:r>
      <w:r w:rsidR="00FC78CD">
        <w:t xml:space="preserve"> were known as </w:t>
      </w:r>
      <w:r>
        <w:t>trans-Atlantic</w:t>
      </w:r>
      <w:r w:rsidR="00FC78CD">
        <w:t xml:space="preserve"> trade. This slave trade led to </w:t>
      </w:r>
      <w:r w:rsidR="00BA076C">
        <w:t>the</w:t>
      </w:r>
      <w:r w:rsidR="00FC78CD">
        <w:t xml:space="preserve"> </w:t>
      </w:r>
      <w:r>
        <w:t>increases</w:t>
      </w:r>
      <w:r w:rsidR="00FC78CD">
        <w:t xml:space="preserve"> in the number of Africans in the American continent</w:t>
      </w:r>
      <w:r w:rsidR="00C077BF">
        <w:rPr>
          <w:rStyle w:val="FootnoteReference"/>
        </w:rPr>
        <w:footnoteReference w:id="2"/>
      </w:r>
      <w:r w:rsidR="00FC78CD">
        <w:t xml:space="preserve">. The Indians in America occupied the place, which is in the present-day known as Arizona. These </w:t>
      </w:r>
      <w:r>
        <w:t>Indians</w:t>
      </w:r>
      <w:r w:rsidR="00FC78CD">
        <w:t xml:space="preserve"> had constructed dams as well as canals, </w:t>
      </w:r>
      <w:r w:rsidR="00C077BF">
        <w:t xml:space="preserve">which enabled them to participate in farming activities. Indian society in ancient America shared common characteristics with different communities in this region of North </w:t>
      </w:r>
      <w:r>
        <w:t>America. Their</w:t>
      </w:r>
      <w:r w:rsidR="00C077BF">
        <w:t xml:space="preserve"> religion did not appear to pose a significant difference from that of other cities of </w:t>
      </w:r>
      <w:r w:rsidR="00C077BF">
        <w:lastRenderedPageBreak/>
        <w:t xml:space="preserve">Europeans in America. These religious rites were performed in the Indian villages. </w:t>
      </w:r>
      <w:r>
        <w:t>However,</w:t>
      </w:r>
      <w:r w:rsidR="00C077BF">
        <w:t xml:space="preserve"> this aspect of spiritual as well as freedom of other things </w:t>
      </w:r>
      <w:r>
        <w:t>Indians</w:t>
      </w:r>
      <w:r w:rsidR="00C077BF">
        <w:t xml:space="preserve"> believed in changed due to a large number of Europeans who were arriving on the American continent. These </w:t>
      </w:r>
      <w:r>
        <w:t>Europeans</w:t>
      </w:r>
      <w:r w:rsidR="00C077BF">
        <w:t xml:space="preserve"> stated </w:t>
      </w:r>
      <w:r>
        <w:t>that</w:t>
      </w:r>
      <w:r w:rsidR="00C077BF">
        <w:t xml:space="preserve"> Indians needed to be converted to </w:t>
      </w:r>
      <w:r>
        <w:t>Christianity</w:t>
      </w:r>
      <w:r w:rsidR="00C077BF">
        <w:t xml:space="preserve">, which they believed was the true religion. In consideration of the changing world, the aspect of life, liberty as well as </w:t>
      </w:r>
      <w:r>
        <w:t>a pursuit</w:t>
      </w:r>
      <w:r w:rsidR="00C077BF">
        <w:t xml:space="preserve"> of happiness affected both </w:t>
      </w:r>
      <w:r>
        <w:t>groups</w:t>
      </w:r>
      <w:r w:rsidR="00C077BF">
        <w:t xml:space="preserve"> widely. The two groups most affected based on liberty and freedom matters were the American Indians and African Americans. </w:t>
      </w:r>
    </w:p>
    <w:p w14:paraId="141515C5" w14:textId="45B76DB3" w:rsidR="001B5525" w:rsidRDefault="00C077BF" w:rsidP="001B5525">
      <w:pPr>
        <w:spacing w:line="480" w:lineRule="auto"/>
        <w:rPr>
          <w:b/>
          <w:bCs/>
        </w:rPr>
      </w:pPr>
      <w:r w:rsidRPr="00D948A8">
        <w:rPr>
          <w:b/>
          <w:bCs/>
        </w:rPr>
        <w:t>America Indians</w:t>
      </w:r>
    </w:p>
    <w:p w14:paraId="28DE2B18" w14:textId="1B50D6D8" w:rsidR="00164FDF" w:rsidRDefault="00C077BF" w:rsidP="001B5525">
      <w:pPr>
        <w:spacing w:line="480" w:lineRule="auto"/>
      </w:pPr>
      <w:r>
        <w:rPr>
          <w:b/>
          <w:bCs/>
        </w:rPr>
        <w:tab/>
      </w:r>
      <w:r w:rsidRPr="007A4290">
        <w:t xml:space="preserve">Due to the increasing number of </w:t>
      </w:r>
      <w:r w:rsidR="004244B2" w:rsidRPr="007A4290">
        <w:t>European</w:t>
      </w:r>
      <w:r w:rsidRPr="007A4290">
        <w:t xml:space="preserve"> </w:t>
      </w:r>
      <w:r w:rsidR="004244B2" w:rsidRPr="007A4290">
        <w:t>emigrants</w:t>
      </w:r>
      <w:r w:rsidRPr="007A4290">
        <w:t xml:space="preserve"> is the American continent in the early </w:t>
      </w:r>
      <w:r w:rsidR="007A4290" w:rsidRPr="007A4290">
        <w:t>18</w:t>
      </w:r>
      <w:r w:rsidR="007A4290" w:rsidRPr="007A4290">
        <w:rPr>
          <w:vertAlign w:val="superscript"/>
        </w:rPr>
        <w:t>th</w:t>
      </w:r>
      <w:r w:rsidR="007A4290" w:rsidRPr="007A4290">
        <w:t xml:space="preserve"> </w:t>
      </w:r>
      <w:r w:rsidR="004244B2" w:rsidRPr="007A4290">
        <w:t>century,</w:t>
      </w:r>
      <w:r w:rsidR="007A4290">
        <w:t xml:space="preserve"> the American </w:t>
      </w:r>
      <w:r w:rsidR="004244B2">
        <w:t>Indians</w:t>
      </w:r>
      <w:r w:rsidR="007A4290">
        <w:t xml:space="preserve"> found life unfavorable to them. In these first years of the 18</w:t>
      </w:r>
      <w:r w:rsidR="007A4290" w:rsidRPr="007A4290">
        <w:rPr>
          <w:vertAlign w:val="superscript"/>
        </w:rPr>
        <w:t>th</w:t>
      </w:r>
      <w:r w:rsidR="007A4290">
        <w:t xml:space="preserve"> and 19</w:t>
      </w:r>
      <w:r w:rsidR="007A4290" w:rsidRPr="007A4290">
        <w:rPr>
          <w:vertAlign w:val="superscript"/>
        </w:rPr>
        <w:t>th</w:t>
      </w:r>
      <w:r w:rsidR="007A4290">
        <w:t xml:space="preserve"> </w:t>
      </w:r>
      <w:r w:rsidR="004244B2">
        <w:t>centuries, federal</w:t>
      </w:r>
      <w:r w:rsidR="007A4290">
        <w:t xml:space="preserve"> policy was introduced, and it stated that given communities be confined in </w:t>
      </w:r>
      <w:r w:rsidR="004244B2">
        <w:t>fixed</w:t>
      </w:r>
      <w:r w:rsidR="007A4290">
        <w:t xml:space="preserve"> areas with limited movement. In these plots, there were to </w:t>
      </w:r>
      <w:r w:rsidR="004244B2">
        <w:t>continue</w:t>
      </w:r>
      <w:r w:rsidR="007A4290">
        <w:t xml:space="preserve"> </w:t>
      </w:r>
      <w:r w:rsidR="004244B2">
        <w:t>practicing</w:t>
      </w:r>
      <w:r w:rsidR="007A4290">
        <w:t xml:space="preserve"> their </w:t>
      </w:r>
      <w:r w:rsidR="004244B2">
        <w:t>traditional</w:t>
      </w:r>
      <w:r w:rsidR="007A4290">
        <w:t xml:space="preserve"> </w:t>
      </w:r>
      <w:r w:rsidR="004244B2">
        <w:t>rites</w:t>
      </w:r>
      <w:r w:rsidR="007A4290">
        <w:t xml:space="preserve"> here without the involvement of other communities. Among the majorly affected tribe by the federal policy were the American Indians</w:t>
      </w:r>
      <w:r>
        <w:rPr>
          <w:rStyle w:val="FootnoteReference"/>
        </w:rPr>
        <w:footnoteReference w:id="3"/>
      </w:r>
      <w:r w:rsidR="007A4290">
        <w:t xml:space="preserve">. Manifold was </w:t>
      </w:r>
      <w:r w:rsidR="004244B2">
        <w:t>the</w:t>
      </w:r>
      <w:r w:rsidR="007A4290">
        <w:t xml:space="preserve"> main issue concerning this policy. According to information in giving me liberty concerning </w:t>
      </w:r>
      <w:r w:rsidR="004244B2">
        <w:t>Indians</w:t>
      </w:r>
      <w:r w:rsidR="007A4290">
        <w:t xml:space="preserve">, Europeans initially had a positive as well as </w:t>
      </w:r>
      <w:r w:rsidR="004244B2">
        <w:t>extreme</w:t>
      </w:r>
      <w:r w:rsidR="007A4290">
        <w:t xml:space="preserve"> views towards the American Indians. They used to regard them as noble savages with a gentle as well as a friendly character. In the year 1524, American Indians </w:t>
      </w:r>
      <w:r w:rsidR="00E12230">
        <w:t xml:space="preserve">saw newcomers Europeans as weak since they were not used to a balanced diet as that of American Indians. There was according to the view of American Indians </w:t>
      </w:r>
      <w:r w:rsidR="00E12230">
        <w:lastRenderedPageBreak/>
        <w:t xml:space="preserve">who were at </w:t>
      </w:r>
      <w:r w:rsidR="004244B2">
        <w:t>these times</w:t>
      </w:r>
      <w:r w:rsidR="00E12230">
        <w:t xml:space="preserve"> held with high </w:t>
      </w:r>
      <w:r w:rsidR="004244B2">
        <w:t>self-esteem</w:t>
      </w:r>
      <w:r w:rsidR="00E12230">
        <w:t xml:space="preserve"> by Europeans. </w:t>
      </w:r>
      <w:r w:rsidR="004244B2">
        <w:t>However</w:t>
      </w:r>
      <w:r w:rsidR="00E12230">
        <w:t xml:space="preserve">, </w:t>
      </w:r>
      <w:r w:rsidR="00BA076C">
        <w:t>these aspects</w:t>
      </w:r>
      <w:r w:rsidR="00E12230">
        <w:t xml:space="preserve"> as to how the American Indians appeared changed over </w:t>
      </w:r>
      <w:r w:rsidR="00BA076C">
        <w:t>time</w:t>
      </w:r>
      <w:r w:rsidR="00E12230">
        <w:t xml:space="preserve"> </w:t>
      </w:r>
      <w:r w:rsidR="00BA076C">
        <w:t>where</w:t>
      </w:r>
      <w:r w:rsidR="00E12230">
        <w:t xml:space="preserve"> their healthy lifestyle changed drastically</w:t>
      </w:r>
      <w:r w:rsidR="004244B2">
        <w:t>.</w:t>
      </w:r>
      <w:r w:rsidR="00E12230">
        <w:t xml:space="preserve"> Due to their religion, </w:t>
      </w:r>
      <w:r w:rsidR="00BA076C">
        <w:t>the</w:t>
      </w:r>
      <w:r w:rsidR="00E12230">
        <w:t xml:space="preserve"> Europeans stated regarding  Indians as lacking fundamental belief, and it undermined the </w:t>
      </w:r>
      <w:r w:rsidR="00BA076C">
        <w:t>pursuit</w:t>
      </w:r>
      <w:r w:rsidR="00E12230">
        <w:t xml:space="preserve"> of happiness of American Indians as a result of the attack on their faith. Their religion was regarded as the main obstacle to the commercial use of land, which was a significant source of wealth to the Europeans who, at this point, had stared establishing settlement schemes and plantations in America. Indians at </w:t>
      </w:r>
      <w:r w:rsidR="00BA076C">
        <w:t>these points</w:t>
      </w:r>
      <w:r w:rsidR="00E12230">
        <w:t xml:space="preserve"> differed with the Europeans, who saw religion as a form of </w:t>
      </w:r>
      <w:r w:rsidR="00BA076C">
        <w:t>acquiring</w:t>
      </w:r>
      <w:r w:rsidR="00E12230">
        <w:t xml:space="preserve"> commodities. In contrast, American Indians saw faith as a representation of pure spirits as well as souls. On the issue regarding the division of labor and specialization, the freedom which American Indians had was interfered with. Indians used to uphold the </w:t>
      </w:r>
      <w:r>
        <w:t>division of energy while working on farms. An example was where American Indian men used to break the sod on the farm while the women were involved in planting crops</w:t>
      </w:r>
      <w:r>
        <w:rPr>
          <w:rStyle w:val="FootnoteReference"/>
        </w:rPr>
        <w:footnoteReference w:id="4"/>
      </w:r>
      <w:r>
        <w:t xml:space="preserve">. On the other </w:t>
      </w:r>
      <w:r w:rsidR="00BA076C">
        <w:t>hand,</w:t>
      </w:r>
      <w:r>
        <w:t xml:space="preserve"> Europeans saw these as a waste of time as well as weak men mistreating their wives </w:t>
      </w:r>
      <w:r w:rsidR="00BA076C">
        <w:t>working the</w:t>
      </w:r>
      <w:r>
        <w:t xml:space="preserve"> farm.</w:t>
      </w:r>
    </w:p>
    <w:p w14:paraId="12DC9478" w14:textId="1C84AA03" w:rsidR="005B4ABA" w:rsidRDefault="00C077BF" w:rsidP="001B5525">
      <w:pPr>
        <w:spacing w:line="480" w:lineRule="auto"/>
      </w:pPr>
      <w:r>
        <w:tab/>
      </w:r>
      <w:r w:rsidR="00BA076C">
        <w:t>Following</w:t>
      </w:r>
      <w:r>
        <w:t xml:space="preserve"> different occurrence </w:t>
      </w:r>
      <w:r w:rsidR="00BA076C">
        <w:t>in</w:t>
      </w:r>
      <w:r>
        <w:t xml:space="preserve"> early </w:t>
      </w:r>
      <w:r w:rsidR="00BA076C">
        <w:t>America, freedom</w:t>
      </w:r>
      <w:r>
        <w:t xml:space="preserve"> of religion, private ownership of property as well as the liberation of the American Indian community from uncivilization was undermined. These</w:t>
      </w:r>
      <w:r w:rsidR="00534B98">
        <w:t xml:space="preserve"> </w:t>
      </w:r>
      <w:r w:rsidR="00BA076C">
        <w:t>indicated</w:t>
      </w:r>
      <w:r w:rsidR="00534B98">
        <w:t xml:space="preserve"> the undermining of the basic principles of life, liberty, and a </w:t>
      </w:r>
      <w:r w:rsidR="00BA076C">
        <w:t>pursuit</w:t>
      </w:r>
      <w:r w:rsidR="00534B98">
        <w:t xml:space="preserve"> of the </w:t>
      </w:r>
      <w:r w:rsidR="00BA076C">
        <w:t>happiness</w:t>
      </w:r>
      <w:r w:rsidR="00534B98">
        <w:t xml:space="preserve"> of the American Indian community. In 1830 </w:t>
      </w:r>
      <w:r w:rsidR="00BA076C">
        <w:t>American</w:t>
      </w:r>
      <w:r w:rsidR="00534B98">
        <w:t xml:space="preserve"> Indian communities were displaced from their </w:t>
      </w:r>
      <w:r w:rsidR="00BA076C">
        <w:t>ancestral</w:t>
      </w:r>
      <w:r w:rsidR="00534B98">
        <w:t xml:space="preserve"> land violation of </w:t>
      </w:r>
      <w:r w:rsidR="00BA076C">
        <w:t>the set</w:t>
      </w:r>
      <w:r w:rsidR="00534B98">
        <w:t xml:space="preserve"> </w:t>
      </w:r>
      <w:r w:rsidR="00BA076C">
        <w:t>treaties</w:t>
      </w:r>
      <w:r w:rsidR="00534B98">
        <w:t xml:space="preserve">. The set government of 1830 </w:t>
      </w:r>
      <w:r w:rsidR="00534B98">
        <w:lastRenderedPageBreak/>
        <w:t xml:space="preserve">was responsible for the initiation of the </w:t>
      </w:r>
      <w:r w:rsidR="00BA076C">
        <w:t>agreements</w:t>
      </w:r>
      <w:r w:rsidR="00534B98">
        <w:t xml:space="preserve"> which had initially protected the lands owned by American Indians</w:t>
      </w:r>
      <w:r>
        <w:rPr>
          <w:rStyle w:val="FootnoteReference"/>
        </w:rPr>
        <w:footnoteReference w:id="5"/>
      </w:r>
      <w:r w:rsidR="00534B98">
        <w:t xml:space="preserve">. These were the primary strategy employed by the government to acquire land from American </w:t>
      </w:r>
      <w:r w:rsidR="00233BFC">
        <w:t xml:space="preserve">Indians, which in turn affected their life by subjecting them to anguish poverty. The farm was the primary economic source for these communities, and </w:t>
      </w:r>
      <w:r w:rsidR="00BA076C">
        <w:t>they</w:t>
      </w:r>
      <w:r w:rsidR="00233BFC">
        <w:t xml:space="preserve"> were </w:t>
      </w:r>
      <w:r w:rsidR="00BA076C">
        <w:t>taking</w:t>
      </w:r>
      <w:r w:rsidR="00233BFC">
        <w:t xml:space="preserve"> from them, and later gave to European societies. Where this strategy failed, the government violated all the treaties, including the one provided by the supreme court, and these ensured that European were evenly distributed in the American nation</w:t>
      </w:r>
      <w:r>
        <w:rPr>
          <w:rStyle w:val="FootnoteReference"/>
        </w:rPr>
        <w:footnoteReference w:id="6"/>
      </w:r>
      <w:r w:rsidR="00233BFC">
        <w:t xml:space="preserve">. The </w:t>
      </w:r>
      <w:r w:rsidR="00BA076C">
        <w:t>Indian</w:t>
      </w:r>
      <w:r w:rsidR="00233BFC">
        <w:t xml:space="preserve"> communities were displaced since they were seen as the major obstacle along the coast south of America. </w:t>
      </w:r>
      <w:r>
        <w:t xml:space="preserve">Major liberty discrimination of the </w:t>
      </w:r>
      <w:r w:rsidR="00BA076C">
        <w:t>Indians</w:t>
      </w:r>
      <w:r>
        <w:t xml:space="preserve">, as well as their </w:t>
      </w:r>
      <w:r w:rsidR="00BA076C">
        <w:t>freedom</w:t>
      </w:r>
      <w:r>
        <w:t xml:space="preserve">, was experienced in 1814, where an expedition </w:t>
      </w:r>
      <w:r w:rsidR="00BA076C">
        <w:t>was</w:t>
      </w:r>
      <w:r>
        <w:t xml:space="preserve"> carried out to all the </w:t>
      </w:r>
      <w:r w:rsidR="00BA076C">
        <w:t>Indian</w:t>
      </w:r>
      <w:r>
        <w:t xml:space="preserve"> communities. These were carried out, </w:t>
      </w:r>
      <w:r w:rsidR="00BA076C">
        <w:t>although</w:t>
      </w:r>
      <w:r>
        <w:t xml:space="preserve"> president </w:t>
      </w:r>
      <w:r w:rsidR="00BA076C">
        <w:t>Thomas</w:t>
      </w:r>
      <w:r>
        <w:t xml:space="preserve"> and jams had promised exchange of the land belonging to </w:t>
      </w:r>
      <w:r w:rsidR="00233BFC">
        <w:t xml:space="preserve">American Indians with the property along river </w:t>
      </w:r>
      <w:r w:rsidR="00BA076C">
        <w:t>Mississippi</w:t>
      </w:r>
      <w:r>
        <w:t>.</w:t>
      </w:r>
    </w:p>
    <w:p w14:paraId="315BB7F5" w14:textId="55228C5E" w:rsidR="005B4ABA" w:rsidRDefault="00C077BF" w:rsidP="001B5525">
      <w:pPr>
        <w:spacing w:line="480" w:lineRule="auto"/>
        <w:rPr>
          <w:b/>
          <w:bCs/>
        </w:rPr>
      </w:pPr>
      <w:r w:rsidRPr="005B4ABA">
        <w:rPr>
          <w:b/>
          <w:bCs/>
        </w:rPr>
        <w:t>African Americans</w:t>
      </w:r>
    </w:p>
    <w:p w14:paraId="2565CCF8" w14:textId="02E773D5" w:rsidR="00A816B4" w:rsidRDefault="00C077BF" w:rsidP="001B5525">
      <w:pPr>
        <w:spacing w:line="480" w:lineRule="auto"/>
      </w:pPr>
      <w:r>
        <w:rPr>
          <w:b/>
          <w:bCs/>
        </w:rPr>
        <w:tab/>
      </w:r>
      <w:r w:rsidRPr="005B4ABA">
        <w:t>When African American</w:t>
      </w:r>
      <w:r>
        <w:t xml:space="preserve"> have mentioned the central concept, as well as </w:t>
      </w:r>
      <w:r w:rsidR="00BA076C">
        <w:t>the subject that</w:t>
      </w:r>
      <w:r>
        <w:t xml:space="preserve"> comes to </w:t>
      </w:r>
      <w:r w:rsidR="00BA076C">
        <w:t>people’s</w:t>
      </w:r>
      <w:r>
        <w:t xml:space="preserve"> minds </w:t>
      </w:r>
      <w:r w:rsidR="00BA076C">
        <w:t>based on</w:t>
      </w:r>
      <w:r>
        <w:t xml:space="preserve"> history, was slaves as well as racial discrimination. </w:t>
      </w:r>
      <w:r w:rsidR="00BA076C">
        <w:t>However,</w:t>
      </w:r>
      <w:r>
        <w:t xml:space="preserve"> the central idea of African </w:t>
      </w:r>
      <w:r w:rsidR="00BA076C">
        <w:t>Americans</w:t>
      </w:r>
      <w:r>
        <w:t xml:space="preserve"> before 1840 is slavery. The freedom of African American’s </w:t>
      </w:r>
      <w:r w:rsidR="00BA076C">
        <w:t>was</w:t>
      </w:r>
      <w:r>
        <w:t xml:space="preserve"> wee profoundly undermined </w:t>
      </w:r>
      <w:r w:rsidR="00BA076C">
        <w:t>where</w:t>
      </w:r>
      <w:r>
        <w:t xml:space="preserve"> their lives were a living hell during their time as slaves. </w:t>
      </w:r>
      <w:r w:rsidR="00BA076C">
        <w:t>Additionally,</w:t>
      </w:r>
      <w:r>
        <w:t xml:space="preserve"> these African did not have the </w:t>
      </w:r>
      <w:r w:rsidR="00BA076C">
        <w:t>right</w:t>
      </w:r>
      <w:r>
        <w:t xml:space="preserve"> to property which made their </w:t>
      </w:r>
      <w:r w:rsidR="00BA076C">
        <w:lastRenderedPageBreak/>
        <w:t>pursuit</w:t>
      </w:r>
      <w:r>
        <w:t xml:space="preserve"> of happiness appear as a </w:t>
      </w:r>
      <w:r w:rsidR="00BA076C">
        <w:t>sweet</w:t>
      </w:r>
      <w:r>
        <w:t xml:space="preserve"> dream to them</w:t>
      </w:r>
      <w:r>
        <w:rPr>
          <w:rStyle w:val="FootnoteReference"/>
        </w:rPr>
        <w:footnoteReference w:id="7"/>
      </w:r>
      <w:r>
        <w:t xml:space="preserve"> .  Most </w:t>
      </w:r>
      <w:r w:rsidR="00BA076C">
        <w:t>Africans</w:t>
      </w:r>
      <w:r>
        <w:t xml:space="preserve"> were </w:t>
      </w:r>
      <w:r w:rsidR="00BA076C">
        <w:t>taken to</w:t>
      </w:r>
      <w:r>
        <w:t xml:space="preserve"> the</w:t>
      </w:r>
      <w:r w:rsidR="00BA076C">
        <w:t xml:space="preserve"> American</w:t>
      </w:r>
      <w:r>
        <w:t xml:space="preserve"> </w:t>
      </w:r>
      <w:r w:rsidR="00BA076C">
        <w:t>continent</w:t>
      </w:r>
      <w:r>
        <w:t xml:space="preserve"> during the</w:t>
      </w:r>
      <w:r w:rsidR="00140501">
        <w:t xml:space="preserve"> transatlantic trade. The physical appearance of </w:t>
      </w:r>
      <w:r w:rsidR="00BA076C">
        <w:t>Africans</w:t>
      </w:r>
      <w:r w:rsidR="00140501">
        <w:t xml:space="preserve"> made them suitable to work for the </w:t>
      </w:r>
      <w:r w:rsidR="00BA076C">
        <w:t>European</w:t>
      </w:r>
      <w:r w:rsidR="00140501">
        <w:t xml:space="preserve"> plantations as slaves. They were energetic, and they were not easily affected by the disease, which affected many Europeans in America. Acquiring slaves was conducted through slave raids as well as wars of conquest. By the time </w:t>
      </w:r>
      <w:r w:rsidR="00BA076C">
        <w:t>there was</w:t>
      </w:r>
      <w:r w:rsidR="00140501">
        <w:t xml:space="preserve"> an American revolution, which led to the adoption of the new constitution, which saw the end of the slave trade, many </w:t>
      </w:r>
      <w:r w:rsidR="00BA076C">
        <w:t>African</w:t>
      </w:r>
      <w:r w:rsidR="00140501">
        <w:t xml:space="preserve"> </w:t>
      </w:r>
      <w:r w:rsidR="00BA076C">
        <w:t>American</w:t>
      </w:r>
      <w:r w:rsidR="00140501">
        <w:t xml:space="preserve">s had suffered as well as reporting many death cases. The end of the slave </w:t>
      </w:r>
      <w:r w:rsidR="00BA076C">
        <w:t>trade</w:t>
      </w:r>
      <w:r w:rsidR="00140501">
        <w:t xml:space="preserve"> was made effective in 1808. The cotton plantation in the southern part of America was the main </w:t>
      </w:r>
      <w:r w:rsidR="00BA076C">
        <w:t>factor</w:t>
      </w:r>
      <w:r w:rsidR="00140501">
        <w:t xml:space="preserve"> why saves were </w:t>
      </w:r>
      <w:r w:rsidR="00BA076C">
        <w:t>transported</w:t>
      </w:r>
      <w:r w:rsidR="00140501">
        <w:t xml:space="preserve"> through the ocean to the </w:t>
      </w:r>
      <w:r w:rsidR="00BA076C">
        <w:t>American</w:t>
      </w:r>
      <w:r w:rsidR="00140501">
        <w:t xml:space="preserve"> continent. During their transportation to the American continent, many slaves died on the </w:t>
      </w:r>
      <w:r w:rsidR="00BA076C">
        <w:t>way,</w:t>
      </w:r>
      <w:r w:rsidR="00140501">
        <w:t xml:space="preserve"> others became sick and weak on the way, and the few who made it to America were tortured during work. These </w:t>
      </w:r>
      <w:r w:rsidR="00BA076C">
        <w:t>African</w:t>
      </w:r>
      <w:r w:rsidR="00140501">
        <w:t xml:space="preserve"> </w:t>
      </w:r>
      <w:r w:rsidR="00BA076C">
        <w:t>Americans</w:t>
      </w:r>
      <w:r>
        <w:t xml:space="preserve"> slaves were</w:t>
      </w:r>
      <w:r w:rsidR="00140501">
        <w:t xml:space="preserve"> not awa</w:t>
      </w:r>
      <w:r>
        <w:t>r</w:t>
      </w:r>
      <w:r w:rsidR="00140501">
        <w:t>e of the true meaning</w:t>
      </w:r>
      <w:r>
        <w:t xml:space="preserve"> </w:t>
      </w:r>
      <w:r w:rsidR="00140501">
        <w:t>of happiness where their life was a miserable one.</w:t>
      </w:r>
    </w:p>
    <w:p w14:paraId="535C44E9" w14:textId="3F244B70" w:rsidR="009832FD" w:rsidRDefault="00C077BF" w:rsidP="001B5525">
      <w:pPr>
        <w:spacing w:line="480" w:lineRule="auto"/>
      </w:pPr>
      <w:r>
        <w:t xml:space="preserve"> </w:t>
      </w:r>
      <w:r w:rsidR="00FD371C">
        <w:tab/>
      </w:r>
      <w:r>
        <w:t xml:space="preserve">The African not only provide cheap labor to the cotton plantations but also worked in tobacco farms for very long hours. Their </w:t>
      </w:r>
      <w:r w:rsidR="00BA076C">
        <w:t>freedom</w:t>
      </w:r>
      <w:r>
        <w:t xml:space="preserve"> was also undermined, where they worked </w:t>
      </w:r>
      <w:r w:rsidR="00BA076C">
        <w:t>under</w:t>
      </w:r>
      <w:r>
        <w:t xml:space="preserve"> </w:t>
      </w:r>
      <w:r w:rsidR="00305D3B">
        <w:t xml:space="preserve">maximum </w:t>
      </w:r>
      <w:r w:rsidR="00BA076C">
        <w:t>supervision</w:t>
      </w:r>
      <w:r w:rsidR="00305D3B">
        <w:t xml:space="preserve"> from their masters</w:t>
      </w:r>
      <w:r>
        <w:rPr>
          <w:rStyle w:val="FootnoteReference"/>
        </w:rPr>
        <w:footnoteReference w:id="8"/>
      </w:r>
      <w:r w:rsidR="00305D3B">
        <w:t xml:space="preserve">. Despite all the challenges they faced as well as discrimination based on their race, </w:t>
      </w:r>
      <w:r w:rsidR="00BA076C">
        <w:t>slaves’</w:t>
      </w:r>
      <w:r w:rsidR="00305D3B">
        <w:t xml:space="preserve"> families, and the places where they lived, developed to form an important institution that was widely recognized in America. They found happiness in their living places where they lived in unity among a community, and their bind expanded from </w:t>
      </w:r>
      <w:r w:rsidR="00305D3B">
        <w:lastRenderedPageBreak/>
        <w:t xml:space="preserve">family ties to communal ties. </w:t>
      </w:r>
      <w:r w:rsidR="00BA076C">
        <w:t>These aspects of togetherness</w:t>
      </w:r>
      <w:r w:rsidR="00305D3B">
        <w:t xml:space="preserve"> made them develop vibrant </w:t>
      </w:r>
      <w:r w:rsidR="00BA076C">
        <w:t>political, social</w:t>
      </w:r>
      <w:r w:rsidR="00305D3B">
        <w:t xml:space="preserve"> as well as economic organizations which their European masters could no longer control. While no single European could prefer to be a </w:t>
      </w:r>
      <w:r w:rsidR="00BA076C">
        <w:t>slave</w:t>
      </w:r>
      <w:r w:rsidR="00305D3B">
        <w:t xml:space="preserve">, these slaves led a vibrant lifestyle where they became active agents of their </w:t>
      </w:r>
      <w:r w:rsidR="00BA076C">
        <w:t>personal</w:t>
      </w:r>
      <w:r w:rsidR="00305D3B">
        <w:t xml:space="preserve"> and social life</w:t>
      </w:r>
      <w:r>
        <w:rPr>
          <w:rStyle w:val="FootnoteReference"/>
        </w:rPr>
        <w:footnoteReference w:id="9"/>
      </w:r>
      <w:r w:rsidR="00305D3B">
        <w:t xml:space="preserve">. The story under which </w:t>
      </w:r>
      <w:r w:rsidR="00BA076C">
        <w:t>this slave</w:t>
      </w:r>
      <w:r w:rsidR="00305D3B">
        <w:t xml:space="preserve"> endured harsh conditions </w:t>
      </w:r>
      <w:r w:rsidR="00BA076C">
        <w:t>where</w:t>
      </w:r>
      <w:r w:rsidR="00305D3B">
        <w:t xml:space="preserve"> thee life was under tough conditions have turned to be a great </w:t>
      </w:r>
      <w:r w:rsidR="00BA076C">
        <w:t>inspiration</w:t>
      </w:r>
      <w:r w:rsidR="00305D3B">
        <w:t xml:space="preserve"> to </w:t>
      </w:r>
      <w:r w:rsidR="00BA076C">
        <w:t>many people</w:t>
      </w:r>
      <w:r w:rsidR="00305D3B">
        <w:t xml:space="preserve"> in the </w:t>
      </w:r>
      <w:r w:rsidR="00BA076C">
        <w:t>current</w:t>
      </w:r>
      <w:r w:rsidR="00305D3B">
        <w:t xml:space="preserve"> world. Some of the </w:t>
      </w:r>
      <w:r w:rsidR="00BA076C">
        <w:t>slave’s</w:t>
      </w:r>
      <w:r w:rsidR="00FE3C8F">
        <w:t xml:space="preserve"> </w:t>
      </w:r>
      <w:r w:rsidR="00BA076C">
        <w:t>descendants became</w:t>
      </w:r>
      <w:r w:rsidR="00305D3B">
        <w:t xml:space="preserve"> active political leaders</w:t>
      </w:r>
      <w:r w:rsidR="00FE3C8F">
        <w:t xml:space="preserve"> bringing about major political revolutions. An example of significant slave descendant figures included Martin Luther King </w:t>
      </w:r>
      <w:r w:rsidR="00BA076C">
        <w:t>Junior,</w:t>
      </w:r>
      <w:r w:rsidR="00FE3C8F">
        <w:t xml:space="preserve"> Marcus </w:t>
      </w:r>
      <w:r w:rsidR="00BA076C">
        <w:t>Gavi</w:t>
      </w:r>
      <w:r w:rsidR="00FE3C8F">
        <w:t xml:space="preserve">, as well as </w:t>
      </w:r>
      <w:r w:rsidR="00BA076C">
        <w:t>Sir Marcom</w:t>
      </w:r>
      <w:r w:rsidR="00FE3C8F">
        <w:t xml:space="preserve">. </w:t>
      </w:r>
      <w:r w:rsidR="00BA076C">
        <w:t>However,</w:t>
      </w:r>
      <w:r w:rsidR="00FE3C8F">
        <w:t xml:space="preserve"> the liberty of these African Americans was widely undermined.</w:t>
      </w:r>
    </w:p>
    <w:p w14:paraId="6441D029" w14:textId="77777777" w:rsidR="009832FD" w:rsidRDefault="009832FD" w:rsidP="001B5525">
      <w:pPr>
        <w:spacing w:line="480" w:lineRule="auto"/>
      </w:pPr>
    </w:p>
    <w:p w14:paraId="42D13F05" w14:textId="77777777" w:rsidR="009832FD" w:rsidRDefault="009832FD" w:rsidP="001B5525">
      <w:pPr>
        <w:spacing w:line="480" w:lineRule="auto"/>
      </w:pPr>
    </w:p>
    <w:p w14:paraId="6438A61E" w14:textId="77777777" w:rsidR="009832FD" w:rsidRDefault="009832FD" w:rsidP="001B5525">
      <w:pPr>
        <w:spacing w:line="480" w:lineRule="auto"/>
      </w:pPr>
    </w:p>
    <w:p w14:paraId="64F53FA2" w14:textId="77777777" w:rsidR="009832FD" w:rsidRDefault="009832FD" w:rsidP="001B5525">
      <w:pPr>
        <w:spacing w:line="480" w:lineRule="auto"/>
      </w:pPr>
    </w:p>
    <w:p w14:paraId="5488B484" w14:textId="77777777" w:rsidR="009832FD" w:rsidRDefault="009832FD" w:rsidP="001B5525">
      <w:pPr>
        <w:spacing w:line="480" w:lineRule="auto"/>
      </w:pPr>
    </w:p>
    <w:p w14:paraId="68A331B5" w14:textId="77777777" w:rsidR="009832FD" w:rsidRDefault="009832FD" w:rsidP="001B5525">
      <w:pPr>
        <w:spacing w:line="480" w:lineRule="auto"/>
      </w:pPr>
    </w:p>
    <w:p w14:paraId="1ABC7D95" w14:textId="77777777" w:rsidR="009832FD" w:rsidRDefault="009832FD" w:rsidP="001B5525">
      <w:pPr>
        <w:spacing w:line="480" w:lineRule="auto"/>
      </w:pPr>
    </w:p>
    <w:p w14:paraId="3B7C40FD" w14:textId="77777777" w:rsidR="009832FD" w:rsidRDefault="009832FD" w:rsidP="001B5525">
      <w:pPr>
        <w:spacing w:line="480" w:lineRule="auto"/>
      </w:pPr>
    </w:p>
    <w:p w14:paraId="395A0A03" w14:textId="77777777" w:rsidR="004244B2" w:rsidRDefault="004244B2" w:rsidP="009832FD">
      <w:pPr>
        <w:spacing w:line="480" w:lineRule="auto"/>
        <w:jc w:val="center"/>
      </w:pPr>
    </w:p>
    <w:p w14:paraId="6C62801F" w14:textId="5AA745A8" w:rsidR="00FD371C" w:rsidRDefault="00FD371C" w:rsidP="00FD371C">
      <w:pPr>
        <w:spacing w:line="480" w:lineRule="auto"/>
      </w:pPr>
      <w:bookmarkStart w:id="0" w:name="_GoBack"/>
      <w:bookmarkEnd w:id="0"/>
    </w:p>
    <w:p w14:paraId="7B54C8BB" w14:textId="4440289A" w:rsidR="009832FD" w:rsidRDefault="00C077BF" w:rsidP="00FD371C">
      <w:pPr>
        <w:spacing w:line="480" w:lineRule="auto"/>
        <w:jc w:val="center"/>
      </w:pPr>
      <w:r>
        <w:lastRenderedPageBreak/>
        <w:t>Bibliography</w:t>
      </w:r>
    </w:p>
    <w:p w14:paraId="372B913B" w14:textId="77777777" w:rsidR="00BA076C" w:rsidRPr="009832FD" w:rsidRDefault="00C077BF" w:rsidP="00BA076C">
      <w:pPr>
        <w:spacing w:line="480" w:lineRule="auto"/>
        <w:ind w:left="720" w:hanging="720"/>
        <w:rPr>
          <w:rFonts w:cs="Times New Roman"/>
          <w:color w:val="222222"/>
          <w:szCs w:val="24"/>
          <w:shd w:val="clear" w:color="auto" w:fill="FFFFFF"/>
        </w:rPr>
      </w:pPr>
      <w:r w:rsidRPr="009832FD">
        <w:rPr>
          <w:rFonts w:cs="Times New Roman"/>
          <w:color w:val="222222"/>
          <w:szCs w:val="24"/>
          <w:shd w:val="clear" w:color="auto" w:fill="FFFFFF"/>
        </w:rPr>
        <w:t>Foner, E. (2016). </w:t>
      </w:r>
      <w:r w:rsidRPr="009832FD">
        <w:rPr>
          <w:rFonts w:cs="Times New Roman"/>
          <w:i/>
          <w:iCs/>
          <w:color w:val="222222"/>
          <w:szCs w:val="24"/>
          <w:shd w:val="clear" w:color="auto" w:fill="FFFFFF"/>
        </w:rPr>
        <w:t>Give Me Liberty! An American History: One Volume</w:t>
      </w:r>
      <w:r w:rsidRPr="009832FD">
        <w:rPr>
          <w:rFonts w:cs="Times New Roman"/>
          <w:color w:val="222222"/>
          <w:szCs w:val="24"/>
          <w:shd w:val="clear" w:color="auto" w:fill="FFFFFF"/>
        </w:rPr>
        <w:t>. WW Norton &amp; Company.</w:t>
      </w:r>
    </w:p>
    <w:p w14:paraId="1D6F5BE1" w14:textId="77777777" w:rsidR="00BA076C" w:rsidRPr="009832FD" w:rsidRDefault="00C077BF" w:rsidP="00BA076C">
      <w:pPr>
        <w:spacing w:line="480" w:lineRule="auto"/>
        <w:ind w:left="720" w:hanging="720"/>
        <w:rPr>
          <w:rFonts w:cs="Times New Roman"/>
          <w:color w:val="222222"/>
          <w:szCs w:val="24"/>
          <w:shd w:val="clear" w:color="auto" w:fill="FFFFFF"/>
        </w:rPr>
      </w:pPr>
      <w:r w:rsidRPr="009832FD">
        <w:rPr>
          <w:rFonts w:cs="Times New Roman"/>
          <w:color w:val="222222"/>
          <w:szCs w:val="24"/>
          <w:shd w:val="clear" w:color="auto" w:fill="FFFFFF"/>
        </w:rPr>
        <w:t>Reyhner, J., &amp; Eder, J. (2017). </w:t>
      </w:r>
      <w:r w:rsidRPr="009832FD">
        <w:rPr>
          <w:rFonts w:cs="Times New Roman"/>
          <w:i/>
          <w:iCs/>
          <w:color w:val="222222"/>
          <w:szCs w:val="24"/>
          <w:shd w:val="clear" w:color="auto" w:fill="FFFFFF"/>
        </w:rPr>
        <w:t>American Indian education: A history</w:t>
      </w:r>
      <w:r w:rsidRPr="009832FD">
        <w:rPr>
          <w:rFonts w:cs="Times New Roman"/>
          <w:color w:val="222222"/>
          <w:szCs w:val="24"/>
          <w:shd w:val="clear" w:color="auto" w:fill="FFFFFF"/>
        </w:rPr>
        <w:t>. University of Oklahoma Press.</w:t>
      </w:r>
    </w:p>
    <w:p w14:paraId="5424793D" w14:textId="77777777" w:rsidR="00BA076C" w:rsidRPr="009832FD" w:rsidRDefault="00C077BF" w:rsidP="00BA076C">
      <w:pPr>
        <w:spacing w:line="480" w:lineRule="auto"/>
        <w:ind w:left="720" w:hanging="720"/>
        <w:rPr>
          <w:rFonts w:cs="Times New Roman"/>
          <w:szCs w:val="24"/>
        </w:rPr>
      </w:pPr>
      <w:r w:rsidRPr="009832FD">
        <w:rPr>
          <w:rFonts w:cs="Times New Roman"/>
          <w:color w:val="222222"/>
          <w:szCs w:val="24"/>
          <w:shd w:val="clear" w:color="auto" w:fill="FFFFFF"/>
        </w:rPr>
        <w:t>Shiell, T. C. (2019). </w:t>
      </w:r>
      <w:r w:rsidRPr="009832FD">
        <w:rPr>
          <w:rFonts w:cs="Times New Roman"/>
          <w:i/>
          <w:iCs/>
          <w:color w:val="222222"/>
          <w:szCs w:val="24"/>
          <w:shd w:val="clear" w:color="auto" w:fill="FFFFFF"/>
        </w:rPr>
        <w:t>African Americans and the First Amendment: The Case for Liberty and Equality</w:t>
      </w:r>
      <w:r w:rsidRPr="009832FD">
        <w:rPr>
          <w:rFonts w:cs="Times New Roman"/>
          <w:color w:val="222222"/>
          <w:szCs w:val="24"/>
          <w:shd w:val="clear" w:color="auto" w:fill="FFFFFF"/>
        </w:rPr>
        <w:t>. SUNY Press.</w:t>
      </w:r>
    </w:p>
    <w:p w14:paraId="3D3B88B5" w14:textId="2FF85D9F" w:rsidR="00AF084E" w:rsidRDefault="00C077BF" w:rsidP="001B5525">
      <w:pPr>
        <w:spacing w:line="480" w:lineRule="auto"/>
      </w:pPr>
      <w:r>
        <w:tab/>
      </w:r>
    </w:p>
    <w:p w14:paraId="296FD62E" w14:textId="4D7505A2" w:rsidR="005B4ABA" w:rsidRPr="005B4ABA" w:rsidRDefault="00C077BF" w:rsidP="001B5525">
      <w:pPr>
        <w:spacing w:line="480" w:lineRule="auto"/>
      </w:pPr>
      <w:r>
        <w:tab/>
      </w:r>
      <w:r w:rsidR="00140501">
        <w:t xml:space="preserve">   </w:t>
      </w:r>
      <w:r w:rsidR="00140501" w:rsidRPr="005B4ABA">
        <w:t xml:space="preserve"> </w:t>
      </w:r>
    </w:p>
    <w:p w14:paraId="0688054C" w14:textId="26ACFAE9" w:rsidR="00164FDF" w:rsidRDefault="00C077BF" w:rsidP="001B5525">
      <w:pPr>
        <w:spacing w:line="480" w:lineRule="auto"/>
      </w:pPr>
      <w:r>
        <w:tab/>
      </w:r>
      <w:r w:rsidR="00233BFC">
        <w:t xml:space="preserve">   </w:t>
      </w:r>
    </w:p>
    <w:p w14:paraId="28F83A08" w14:textId="6E27FE60" w:rsidR="00D948A8" w:rsidRPr="007A4290" w:rsidRDefault="00C077BF" w:rsidP="001B5525">
      <w:pPr>
        <w:spacing w:line="480" w:lineRule="auto"/>
      </w:pPr>
      <w:r>
        <w:tab/>
      </w:r>
      <w:r w:rsidR="00E12230">
        <w:t xml:space="preserve"> </w:t>
      </w:r>
    </w:p>
    <w:p w14:paraId="53559BC8" w14:textId="24394FCF" w:rsidR="00D948A8" w:rsidRDefault="00C077BF" w:rsidP="001B5525">
      <w:pPr>
        <w:spacing w:line="480" w:lineRule="auto"/>
      </w:pPr>
      <w:r>
        <w:tab/>
      </w:r>
    </w:p>
    <w:p w14:paraId="3AAF61A0" w14:textId="6B82BCBD" w:rsidR="001B5525" w:rsidRDefault="001B5525" w:rsidP="001B5525">
      <w:pPr>
        <w:spacing w:line="480" w:lineRule="auto"/>
      </w:pPr>
    </w:p>
    <w:p w14:paraId="58FB44BF" w14:textId="3A893552" w:rsidR="00151C8E" w:rsidRDefault="00151C8E"/>
    <w:p w14:paraId="3CCF4DC7" w14:textId="77E78D9A" w:rsidR="00151C8E" w:rsidRDefault="00151C8E"/>
    <w:p w14:paraId="093043A3" w14:textId="1B9F6CE7" w:rsidR="00151C8E" w:rsidRDefault="00151C8E"/>
    <w:p w14:paraId="4E21A598" w14:textId="7BDAA396" w:rsidR="00151C8E" w:rsidRDefault="00151C8E"/>
    <w:p w14:paraId="0DC2BCDD" w14:textId="02D41812" w:rsidR="00151C8E" w:rsidRDefault="00151C8E"/>
    <w:p w14:paraId="1DAC1D58" w14:textId="6EEE724A" w:rsidR="00151C8E" w:rsidRDefault="00151C8E"/>
    <w:p w14:paraId="4CA37000" w14:textId="350C983A" w:rsidR="00151C8E" w:rsidRDefault="00151C8E"/>
    <w:p w14:paraId="3F38B5F2" w14:textId="7DA8ECB0" w:rsidR="00151C8E" w:rsidRDefault="00151C8E"/>
    <w:p w14:paraId="548D0BBB" w14:textId="4207DF13" w:rsidR="00151C8E" w:rsidRDefault="00151C8E"/>
    <w:p w14:paraId="4305A316" w14:textId="4A4E4BE6" w:rsidR="00151C8E" w:rsidRDefault="00151C8E"/>
    <w:p w14:paraId="38C28647" w14:textId="19A635D3" w:rsidR="00151C8E" w:rsidRDefault="00151C8E"/>
    <w:p w14:paraId="186BA5F0" w14:textId="74C9AA32" w:rsidR="00151C8E" w:rsidRDefault="00151C8E"/>
    <w:p w14:paraId="77934156" w14:textId="673E8623" w:rsidR="00151C8E" w:rsidRDefault="00151C8E"/>
    <w:p w14:paraId="64ACDD55" w14:textId="56B3DFF1" w:rsidR="00151C8E" w:rsidRDefault="00151C8E"/>
    <w:p w14:paraId="4DA30721" w14:textId="02554A05" w:rsidR="00151C8E" w:rsidRDefault="00151C8E"/>
    <w:p w14:paraId="1D054ACE" w14:textId="6F138206" w:rsidR="00151C8E" w:rsidRDefault="00151C8E"/>
    <w:p w14:paraId="5A701212" w14:textId="187219FA" w:rsidR="00151C8E" w:rsidRDefault="00151C8E"/>
    <w:p w14:paraId="6C5B52B3" w14:textId="068096CA" w:rsidR="00151C8E" w:rsidRDefault="00151C8E"/>
    <w:p w14:paraId="0E257D4E" w14:textId="77777777" w:rsidR="00151C8E" w:rsidRDefault="00151C8E"/>
    <w:sectPr w:rsidR="00151C8E" w:rsidSect="00151C8E">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2AE75" w14:textId="77777777" w:rsidR="00CF5878" w:rsidRDefault="00CF5878">
      <w:pPr>
        <w:spacing w:after="0" w:line="240" w:lineRule="auto"/>
      </w:pPr>
      <w:r>
        <w:separator/>
      </w:r>
    </w:p>
  </w:endnote>
  <w:endnote w:type="continuationSeparator" w:id="0">
    <w:p w14:paraId="0108A7BF" w14:textId="77777777" w:rsidR="00CF5878" w:rsidRDefault="00CF5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82912" w14:textId="77777777" w:rsidR="00CF5878" w:rsidRDefault="00CF5878" w:rsidP="00151C8E">
      <w:pPr>
        <w:spacing w:after="0" w:line="240" w:lineRule="auto"/>
      </w:pPr>
      <w:r>
        <w:separator/>
      </w:r>
    </w:p>
  </w:footnote>
  <w:footnote w:type="continuationSeparator" w:id="0">
    <w:p w14:paraId="6AC6D9E2" w14:textId="77777777" w:rsidR="00CF5878" w:rsidRDefault="00CF5878" w:rsidP="00151C8E">
      <w:pPr>
        <w:spacing w:after="0" w:line="240" w:lineRule="auto"/>
      </w:pPr>
      <w:r>
        <w:continuationSeparator/>
      </w:r>
    </w:p>
  </w:footnote>
  <w:footnote w:id="1">
    <w:p w14:paraId="432C1B93" w14:textId="163DF634" w:rsidR="009832FD" w:rsidRPr="009832FD" w:rsidRDefault="00C077BF" w:rsidP="009832FD">
      <w:pPr>
        <w:spacing w:line="480" w:lineRule="auto"/>
        <w:rPr>
          <w:rFonts w:cs="Times New Roman"/>
          <w:color w:val="222222"/>
          <w:szCs w:val="24"/>
          <w:shd w:val="clear" w:color="auto" w:fill="FFFFFF"/>
        </w:rPr>
      </w:pPr>
      <w:r>
        <w:rPr>
          <w:rStyle w:val="FootnoteReference"/>
        </w:rPr>
        <w:footnoteRef/>
      </w:r>
      <w:r>
        <w:t xml:space="preserve"> </w:t>
      </w:r>
      <w:r w:rsidRPr="009832FD">
        <w:rPr>
          <w:rFonts w:cs="Times New Roman"/>
          <w:color w:val="222222"/>
          <w:szCs w:val="24"/>
          <w:shd w:val="clear" w:color="auto" w:fill="FFFFFF"/>
        </w:rPr>
        <w:t>Foner, E. (2016). </w:t>
      </w:r>
      <w:r w:rsidRPr="009832FD">
        <w:rPr>
          <w:rFonts w:cs="Times New Roman"/>
          <w:i/>
          <w:iCs/>
          <w:color w:val="222222"/>
          <w:szCs w:val="24"/>
          <w:shd w:val="clear" w:color="auto" w:fill="FFFFFF"/>
        </w:rPr>
        <w:t>Give Me Liberty! An American History: One Volume</w:t>
      </w:r>
      <w:r w:rsidRPr="009832FD">
        <w:rPr>
          <w:rFonts w:cs="Times New Roman"/>
          <w:color w:val="222222"/>
          <w:szCs w:val="24"/>
          <w:shd w:val="clear" w:color="auto" w:fill="FFFFFF"/>
        </w:rPr>
        <w:t>. WW Norton &amp; Company</w:t>
      </w:r>
      <w:r>
        <w:rPr>
          <w:rFonts w:cs="Times New Roman"/>
          <w:color w:val="222222"/>
          <w:szCs w:val="24"/>
          <w:shd w:val="clear" w:color="auto" w:fill="FFFFFF"/>
        </w:rPr>
        <w:t>.</w:t>
      </w:r>
    </w:p>
    <w:p w14:paraId="6EC7A008" w14:textId="0E2AA84D" w:rsidR="005B4ABA" w:rsidRDefault="005B4ABA">
      <w:pPr>
        <w:pStyle w:val="FootnoteText"/>
      </w:pPr>
    </w:p>
  </w:footnote>
  <w:footnote w:id="2">
    <w:p w14:paraId="158759E8" w14:textId="37A0ABDB" w:rsidR="009832FD" w:rsidRPr="009832FD" w:rsidRDefault="00C077BF" w:rsidP="009832FD">
      <w:pPr>
        <w:spacing w:line="480" w:lineRule="auto"/>
        <w:rPr>
          <w:rFonts w:cs="Times New Roman"/>
          <w:color w:val="222222"/>
          <w:szCs w:val="24"/>
          <w:shd w:val="clear" w:color="auto" w:fill="FFFFFF"/>
        </w:rPr>
      </w:pPr>
      <w:r>
        <w:rPr>
          <w:rStyle w:val="FootnoteReference"/>
        </w:rPr>
        <w:footnoteRef/>
      </w:r>
      <w:r>
        <w:t xml:space="preserve"> </w:t>
      </w:r>
      <w:r w:rsidR="004244B2">
        <w:rPr>
          <w:rFonts w:cs="Times New Roman"/>
          <w:color w:val="222222"/>
          <w:szCs w:val="24"/>
          <w:shd w:val="clear" w:color="auto" w:fill="FFFFFF"/>
        </w:rPr>
        <w:t>Ibid., 33</w:t>
      </w:r>
    </w:p>
    <w:p w14:paraId="66A7C788" w14:textId="0490DB26" w:rsidR="005B4ABA" w:rsidRDefault="005B4ABA">
      <w:pPr>
        <w:pStyle w:val="FootnoteText"/>
      </w:pPr>
    </w:p>
  </w:footnote>
  <w:footnote w:id="3">
    <w:p w14:paraId="4C81C8E4" w14:textId="77777777" w:rsidR="004244B2" w:rsidRPr="009832FD" w:rsidRDefault="00C077BF" w:rsidP="004244B2">
      <w:pPr>
        <w:spacing w:line="480" w:lineRule="auto"/>
        <w:rPr>
          <w:rFonts w:cs="Times New Roman"/>
          <w:color w:val="222222"/>
          <w:szCs w:val="24"/>
          <w:shd w:val="clear" w:color="auto" w:fill="FFFFFF"/>
        </w:rPr>
      </w:pPr>
      <w:r>
        <w:rPr>
          <w:rStyle w:val="FootnoteReference"/>
        </w:rPr>
        <w:footnoteRef/>
      </w:r>
      <w:r w:rsidRPr="009832FD">
        <w:rPr>
          <w:rFonts w:cs="Times New Roman"/>
          <w:color w:val="222222"/>
          <w:szCs w:val="24"/>
          <w:shd w:val="clear" w:color="auto" w:fill="FFFFFF"/>
        </w:rPr>
        <w:t>Reyhner, J., &amp; Eder, J. (2017). </w:t>
      </w:r>
      <w:r w:rsidRPr="009832FD">
        <w:rPr>
          <w:rFonts w:cs="Times New Roman"/>
          <w:i/>
          <w:iCs/>
          <w:color w:val="222222"/>
          <w:szCs w:val="24"/>
          <w:shd w:val="clear" w:color="auto" w:fill="FFFFFF"/>
        </w:rPr>
        <w:t>American Indian education: A history</w:t>
      </w:r>
      <w:r w:rsidRPr="009832FD">
        <w:rPr>
          <w:rFonts w:cs="Times New Roman"/>
          <w:color w:val="222222"/>
          <w:szCs w:val="24"/>
          <w:shd w:val="clear" w:color="auto" w:fill="FFFFFF"/>
        </w:rPr>
        <w:t>. University of Oklahoma Press.</w:t>
      </w:r>
    </w:p>
    <w:p w14:paraId="665CA059" w14:textId="2A04A0D5" w:rsidR="005B4ABA" w:rsidRDefault="00C077BF">
      <w:pPr>
        <w:pStyle w:val="FootnoteText"/>
      </w:pPr>
      <w:r>
        <w:t xml:space="preserve"> </w:t>
      </w:r>
    </w:p>
  </w:footnote>
  <w:footnote w:id="4">
    <w:p w14:paraId="2B392701" w14:textId="77777777" w:rsidR="004244B2" w:rsidRPr="009832FD" w:rsidRDefault="00C077BF" w:rsidP="004244B2">
      <w:pPr>
        <w:spacing w:line="480" w:lineRule="auto"/>
        <w:rPr>
          <w:rFonts w:cs="Times New Roman"/>
          <w:color w:val="222222"/>
          <w:szCs w:val="24"/>
          <w:shd w:val="clear" w:color="auto" w:fill="FFFFFF"/>
        </w:rPr>
      </w:pPr>
      <w:r>
        <w:rPr>
          <w:rStyle w:val="FootnoteReference"/>
        </w:rPr>
        <w:footnoteRef/>
      </w:r>
      <w:r>
        <w:t xml:space="preserve"> </w:t>
      </w:r>
      <w:r w:rsidRPr="009832FD">
        <w:rPr>
          <w:rFonts w:cs="Times New Roman"/>
          <w:color w:val="222222"/>
          <w:szCs w:val="24"/>
          <w:shd w:val="clear" w:color="auto" w:fill="FFFFFF"/>
        </w:rPr>
        <w:t>Reyhner, J., &amp; Eder, J. (2017). </w:t>
      </w:r>
      <w:r w:rsidRPr="009832FD">
        <w:rPr>
          <w:rFonts w:cs="Times New Roman"/>
          <w:i/>
          <w:iCs/>
          <w:color w:val="222222"/>
          <w:szCs w:val="24"/>
          <w:shd w:val="clear" w:color="auto" w:fill="FFFFFF"/>
        </w:rPr>
        <w:t>American Indian education: A history</w:t>
      </w:r>
      <w:r w:rsidRPr="009832FD">
        <w:rPr>
          <w:rFonts w:cs="Times New Roman"/>
          <w:color w:val="222222"/>
          <w:szCs w:val="24"/>
          <w:shd w:val="clear" w:color="auto" w:fill="FFFFFF"/>
        </w:rPr>
        <w:t>. University of Oklahoma Press.</w:t>
      </w:r>
    </w:p>
    <w:p w14:paraId="64A708B4" w14:textId="4A9A1818" w:rsidR="005B4ABA" w:rsidRDefault="005B4ABA">
      <w:pPr>
        <w:pStyle w:val="FootnoteText"/>
      </w:pPr>
    </w:p>
  </w:footnote>
  <w:footnote w:id="5">
    <w:p w14:paraId="47055458" w14:textId="111FCB5B" w:rsidR="005B4ABA" w:rsidRPr="004244B2" w:rsidRDefault="00C077BF">
      <w:pPr>
        <w:pStyle w:val="FootnoteText"/>
        <w:rPr>
          <w:sz w:val="24"/>
          <w:szCs w:val="24"/>
        </w:rPr>
      </w:pPr>
      <w:r>
        <w:rPr>
          <w:rStyle w:val="FootnoteReference"/>
        </w:rPr>
        <w:footnoteRef/>
      </w:r>
      <w:r>
        <w:t xml:space="preserve"> </w:t>
      </w:r>
      <w:r w:rsidR="004244B2">
        <w:t xml:space="preserve"> </w:t>
      </w:r>
      <w:r w:rsidR="004244B2">
        <w:rPr>
          <w:sz w:val="24"/>
          <w:szCs w:val="24"/>
        </w:rPr>
        <w:t>Ibid., 20</w:t>
      </w:r>
    </w:p>
  </w:footnote>
  <w:footnote w:id="6">
    <w:p w14:paraId="3E2C1059" w14:textId="77777777" w:rsidR="004244B2" w:rsidRPr="009832FD" w:rsidRDefault="00C077BF" w:rsidP="004244B2">
      <w:pPr>
        <w:spacing w:line="480" w:lineRule="auto"/>
        <w:rPr>
          <w:rFonts w:cs="Times New Roman"/>
          <w:szCs w:val="24"/>
        </w:rPr>
      </w:pPr>
      <w:r>
        <w:rPr>
          <w:rStyle w:val="FootnoteReference"/>
        </w:rPr>
        <w:footnoteRef/>
      </w:r>
      <w:r w:rsidRPr="009832FD">
        <w:rPr>
          <w:rFonts w:cs="Times New Roman"/>
          <w:color w:val="222222"/>
          <w:szCs w:val="24"/>
          <w:shd w:val="clear" w:color="auto" w:fill="FFFFFF"/>
        </w:rPr>
        <w:t>Shiell, T. C. (2019). </w:t>
      </w:r>
      <w:r w:rsidRPr="009832FD">
        <w:rPr>
          <w:rFonts w:cs="Times New Roman"/>
          <w:i/>
          <w:iCs/>
          <w:color w:val="222222"/>
          <w:szCs w:val="24"/>
          <w:shd w:val="clear" w:color="auto" w:fill="FFFFFF"/>
        </w:rPr>
        <w:t>African Americans and the First Amendment: The Case for Liberty and Equality</w:t>
      </w:r>
      <w:r w:rsidRPr="009832FD">
        <w:rPr>
          <w:rFonts w:cs="Times New Roman"/>
          <w:color w:val="222222"/>
          <w:szCs w:val="24"/>
          <w:shd w:val="clear" w:color="auto" w:fill="FFFFFF"/>
        </w:rPr>
        <w:t>. SUNY Press.</w:t>
      </w:r>
    </w:p>
    <w:p w14:paraId="56B80CD8" w14:textId="3B7BEA54" w:rsidR="005B4ABA" w:rsidRDefault="00C077BF">
      <w:pPr>
        <w:pStyle w:val="FootnoteText"/>
      </w:pPr>
      <w:r>
        <w:t xml:space="preserve"> </w:t>
      </w:r>
    </w:p>
  </w:footnote>
  <w:footnote w:id="7">
    <w:p w14:paraId="01F6285C" w14:textId="070CE8A9" w:rsidR="004244B2" w:rsidRPr="004244B2" w:rsidRDefault="00C077BF">
      <w:pPr>
        <w:pStyle w:val="FootnoteText"/>
        <w:rPr>
          <w:sz w:val="24"/>
          <w:szCs w:val="24"/>
        </w:rPr>
      </w:pPr>
      <w:r>
        <w:rPr>
          <w:rStyle w:val="FootnoteReference"/>
        </w:rPr>
        <w:footnoteRef/>
      </w:r>
      <w:r>
        <w:t xml:space="preserve"> </w:t>
      </w:r>
      <w:r>
        <w:rPr>
          <w:sz w:val="24"/>
          <w:szCs w:val="24"/>
        </w:rPr>
        <w:t>Ibid., 40</w:t>
      </w:r>
    </w:p>
  </w:footnote>
  <w:footnote w:id="8">
    <w:p w14:paraId="4AEFB8C8" w14:textId="77777777" w:rsidR="004244B2" w:rsidRPr="009832FD" w:rsidRDefault="00C077BF" w:rsidP="004244B2">
      <w:pPr>
        <w:spacing w:line="480" w:lineRule="auto"/>
        <w:rPr>
          <w:rFonts w:cs="Times New Roman"/>
          <w:szCs w:val="24"/>
        </w:rPr>
      </w:pPr>
      <w:r>
        <w:rPr>
          <w:rStyle w:val="FootnoteReference"/>
        </w:rPr>
        <w:footnoteRef/>
      </w:r>
      <w:r>
        <w:t xml:space="preserve"> </w:t>
      </w:r>
      <w:r w:rsidRPr="009832FD">
        <w:rPr>
          <w:rFonts w:cs="Times New Roman"/>
          <w:color w:val="222222"/>
          <w:szCs w:val="24"/>
          <w:shd w:val="clear" w:color="auto" w:fill="FFFFFF"/>
        </w:rPr>
        <w:t>Shiell, T. C. (2019). </w:t>
      </w:r>
      <w:r w:rsidRPr="009832FD">
        <w:rPr>
          <w:rFonts w:cs="Times New Roman"/>
          <w:i/>
          <w:iCs/>
          <w:color w:val="222222"/>
          <w:szCs w:val="24"/>
          <w:shd w:val="clear" w:color="auto" w:fill="FFFFFF"/>
        </w:rPr>
        <w:t>African Americans and the First Amendment: The Case for Liberty and Equality</w:t>
      </w:r>
      <w:r w:rsidRPr="009832FD">
        <w:rPr>
          <w:rFonts w:cs="Times New Roman"/>
          <w:color w:val="222222"/>
          <w:szCs w:val="24"/>
          <w:shd w:val="clear" w:color="auto" w:fill="FFFFFF"/>
        </w:rPr>
        <w:t>. SUNY Press.</w:t>
      </w:r>
    </w:p>
    <w:p w14:paraId="44C858A2" w14:textId="6990B7C1" w:rsidR="004244B2" w:rsidRDefault="004244B2">
      <w:pPr>
        <w:pStyle w:val="FootnoteText"/>
      </w:pPr>
    </w:p>
  </w:footnote>
  <w:footnote w:id="9">
    <w:p w14:paraId="74BA643C" w14:textId="2EBB47C7" w:rsidR="004244B2" w:rsidRPr="004244B2" w:rsidRDefault="00C077BF">
      <w:pPr>
        <w:pStyle w:val="FootnoteText"/>
        <w:rPr>
          <w:sz w:val="24"/>
          <w:szCs w:val="24"/>
        </w:rPr>
      </w:pPr>
      <w:r>
        <w:rPr>
          <w:rStyle w:val="FootnoteReference"/>
        </w:rPr>
        <w:footnoteRef/>
      </w:r>
      <w:r>
        <w:t xml:space="preserve"> </w:t>
      </w:r>
      <w:r>
        <w:rPr>
          <w:sz w:val="24"/>
          <w:szCs w:val="24"/>
        </w:rPr>
        <w:t>Ibid., 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11940"/>
      <w:docPartObj>
        <w:docPartGallery w:val="Page Numbers (Top of Page)"/>
        <w:docPartUnique/>
      </w:docPartObj>
    </w:sdtPr>
    <w:sdtEndPr>
      <w:rPr>
        <w:noProof/>
      </w:rPr>
    </w:sdtEndPr>
    <w:sdtContent>
      <w:p w14:paraId="70E48352" w14:textId="4A3CFB1B" w:rsidR="00151C8E" w:rsidRDefault="00C077BF">
        <w:pPr>
          <w:pStyle w:val="Header"/>
          <w:jc w:val="right"/>
        </w:pPr>
        <w:r>
          <w:fldChar w:fldCharType="begin"/>
        </w:r>
        <w:r>
          <w:instrText xml:space="preserve"> PAGE   \* MERGEFORMAT </w:instrText>
        </w:r>
        <w:r>
          <w:fldChar w:fldCharType="separate"/>
        </w:r>
        <w:r w:rsidR="00294456">
          <w:rPr>
            <w:noProof/>
          </w:rPr>
          <w:t>7</w:t>
        </w:r>
        <w:r>
          <w:rPr>
            <w:noProof/>
          </w:rPr>
          <w:fldChar w:fldCharType="end"/>
        </w:r>
      </w:p>
    </w:sdtContent>
  </w:sdt>
  <w:p w14:paraId="35517DB8" w14:textId="77777777" w:rsidR="00151C8E" w:rsidRDefault="00151C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C8E"/>
    <w:rsid w:val="00060A75"/>
    <w:rsid w:val="00140501"/>
    <w:rsid w:val="00151C8E"/>
    <w:rsid w:val="00164FDF"/>
    <w:rsid w:val="001B5525"/>
    <w:rsid w:val="00233BFC"/>
    <w:rsid w:val="00294456"/>
    <w:rsid w:val="002A3EC3"/>
    <w:rsid w:val="00305D3B"/>
    <w:rsid w:val="004244B2"/>
    <w:rsid w:val="00534B98"/>
    <w:rsid w:val="00585EBC"/>
    <w:rsid w:val="005B4ABA"/>
    <w:rsid w:val="007A4290"/>
    <w:rsid w:val="008545D4"/>
    <w:rsid w:val="009832FD"/>
    <w:rsid w:val="00A816B4"/>
    <w:rsid w:val="00AF084E"/>
    <w:rsid w:val="00BA076C"/>
    <w:rsid w:val="00BB5512"/>
    <w:rsid w:val="00C077BF"/>
    <w:rsid w:val="00CF5878"/>
    <w:rsid w:val="00D948A8"/>
    <w:rsid w:val="00E12230"/>
    <w:rsid w:val="00FC78CD"/>
    <w:rsid w:val="00FD371C"/>
    <w:rsid w:val="00FE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922C2"/>
  <w15:chartTrackingRefBased/>
  <w15:docId w15:val="{143D5DD9-C1E0-4345-8630-8915CD10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51C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1C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C8E"/>
  </w:style>
  <w:style w:type="paragraph" w:styleId="Footer">
    <w:name w:val="footer"/>
    <w:basedOn w:val="Normal"/>
    <w:link w:val="FooterChar"/>
    <w:uiPriority w:val="99"/>
    <w:unhideWhenUsed/>
    <w:rsid w:val="00151C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C8E"/>
  </w:style>
  <w:style w:type="character" w:customStyle="1" w:styleId="Heading1Char">
    <w:name w:val="Heading 1 Char"/>
    <w:basedOn w:val="DefaultParagraphFont"/>
    <w:link w:val="Heading1"/>
    <w:uiPriority w:val="9"/>
    <w:rsid w:val="00151C8E"/>
    <w:rPr>
      <w:rFonts w:asciiTheme="majorHAnsi" w:eastAsiaTheme="majorEastAsia" w:hAnsiTheme="majorHAnsi" w:cstheme="majorBidi"/>
      <w:color w:val="2F5496" w:themeColor="accent1" w:themeShade="BF"/>
      <w:sz w:val="32"/>
      <w:szCs w:val="32"/>
    </w:rPr>
  </w:style>
  <w:style w:type="paragraph" w:styleId="EndnoteText">
    <w:name w:val="endnote text"/>
    <w:basedOn w:val="Normal"/>
    <w:link w:val="EndnoteTextChar"/>
    <w:uiPriority w:val="99"/>
    <w:semiHidden/>
    <w:unhideWhenUsed/>
    <w:rsid w:val="001B552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B5525"/>
    <w:rPr>
      <w:sz w:val="20"/>
      <w:szCs w:val="20"/>
    </w:rPr>
  </w:style>
  <w:style w:type="character" w:styleId="EndnoteReference">
    <w:name w:val="endnote reference"/>
    <w:basedOn w:val="DefaultParagraphFont"/>
    <w:uiPriority w:val="99"/>
    <w:semiHidden/>
    <w:unhideWhenUsed/>
    <w:rsid w:val="001B5525"/>
    <w:rPr>
      <w:vertAlign w:val="superscript"/>
    </w:rPr>
  </w:style>
  <w:style w:type="paragraph" w:styleId="FootnoteText">
    <w:name w:val="footnote text"/>
    <w:basedOn w:val="Normal"/>
    <w:link w:val="FootnoteTextChar"/>
    <w:uiPriority w:val="99"/>
    <w:semiHidden/>
    <w:unhideWhenUsed/>
    <w:rsid w:val="00D948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48A8"/>
    <w:rPr>
      <w:sz w:val="20"/>
      <w:szCs w:val="20"/>
    </w:rPr>
  </w:style>
  <w:style w:type="character" w:styleId="FootnoteReference">
    <w:name w:val="footnote reference"/>
    <w:basedOn w:val="DefaultParagraphFont"/>
    <w:uiPriority w:val="99"/>
    <w:semiHidden/>
    <w:unhideWhenUsed/>
    <w:rsid w:val="00D948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D008FFC-DF56-4A42-9459-EE43C8CB5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9</Pages>
  <Words>1411</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dcterms:created xsi:type="dcterms:W3CDTF">2020-03-23T12:31:00Z</dcterms:created>
  <dcterms:modified xsi:type="dcterms:W3CDTF">2020-03-23T20:05:00Z</dcterms:modified>
</cp:coreProperties>
</file>